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035"/>
        <w:tblW w:w="0" w:type="auto"/>
        <w:tblLayout w:type="fixed"/>
        <w:tblLook w:val="01E0"/>
      </w:tblPr>
      <w:tblGrid>
        <w:gridCol w:w="1701"/>
        <w:gridCol w:w="8080"/>
      </w:tblGrid>
      <w:tr w:rsidR="0091367E" w:rsidTr="00A64468">
        <w:trPr>
          <w:trHeight w:val="1621"/>
        </w:trPr>
        <w:tc>
          <w:tcPr>
            <w:tcW w:w="1701" w:type="dxa"/>
          </w:tcPr>
          <w:p w:rsidR="0091367E" w:rsidRDefault="00554DE2" w:rsidP="00A64468">
            <w:pPr>
              <w:ind w:right="34"/>
              <w:jc w:val="center"/>
            </w:pPr>
            <w:r>
              <w:rPr>
                <w:rFonts w:ascii="Verdana" w:hAnsi="Verdana" w:cs="Arial"/>
              </w:rPr>
              <w:t xml:space="preserve"> </w:t>
            </w:r>
            <w:r w:rsidR="003778C8">
              <w:rPr>
                <w:rFonts w:ascii="Verdana" w:hAnsi="Verdana" w:cs="Arial"/>
                <w:noProof/>
              </w:rPr>
              <w:drawing>
                <wp:inline distT="0" distB="0" distL="0" distR="0">
                  <wp:extent cx="819150" cy="1009650"/>
                  <wp:effectExtent l="19050" t="0" r="0" b="0"/>
                  <wp:docPr id="1" name="Immagine 1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91367E" w:rsidRDefault="0091367E" w:rsidP="004409BF">
            <w:pPr>
              <w:pStyle w:val="Didascalia"/>
              <w:spacing w:afterLines="40"/>
              <w:ind w:left="34" w:hanging="34"/>
              <w:rPr>
                <w:rFonts w:ascii="Verdana" w:hAnsi="Verdana" w:cs="Arial"/>
                <w:b w:val="0"/>
                <w:szCs w:val="40"/>
              </w:rPr>
            </w:pPr>
            <w:r>
              <w:rPr>
                <w:rFonts w:ascii="Verdana" w:hAnsi="Verdana" w:cs="Arial"/>
                <w:b w:val="0"/>
                <w:szCs w:val="40"/>
              </w:rPr>
              <w:t>CITT</w:t>
            </w:r>
            <w:r>
              <w:rPr>
                <w:rFonts w:ascii="Verdana" w:hAnsi="Verdana"/>
                <w:b w:val="0"/>
                <w:szCs w:val="40"/>
              </w:rPr>
              <w:t>Á</w:t>
            </w:r>
            <w:r>
              <w:rPr>
                <w:rFonts w:ascii="Verdana" w:hAnsi="Verdana" w:cs="Arial"/>
                <w:b w:val="0"/>
                <w:szCs w:val="40"/>
              </w:rPr>
              <w:t xml:space="preserve"> DI GALATONE</w:t>
            </w:r>
          </w:p>
          <w:p w:rsidR="0091367E" w:rsidRDefault="0091367E" w:rsidP="004409BF">
            <w:pPr>
              <w:pStyle w:val="Titolo1"/>
              <w:spacing w:afterLines="40"/>
              <w:ind w:left="34" w:hanging="34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Provincia di Lecce</w:t>
            </w:r>
          </w:p>
          <w:p w:rsidR="004409BF" w:rsidRDefault="004409BF" w:rsidP="004409BF">
            <w:pPr>
              <w:spacing w:afterLines="40"/>
              <w:ind w:left="34" w:hanging="34"/>
              <w:jc w:val="center"/>
              <w:rPr>
                <w:rFonts w:ascii="Verdana" w:hAnsi="Verdana"/>
              </w:rPr>
            </w:pPr>
          </w:p>
        </w:tc>
      </w:tr>
    </w:tbl>
    <w:p w:rsidR="0091367E" w:rsidRDefault="0091367E" w:rsidP="004409BF">
      <w:pPr>
        <w:tabs>
          <w:tab w:val="right" w:pos="9638"/>
        </w:tabs>
        <w:spacing w:afterLines="40"/>
        <w:ind w:left="284" w:right="284" w:firstLine="709"/>
        <w:jc w:val="both"/>
        <w:rPr>
          <w:rFonts w:ascii="Verdana" w:hAnsi="Verdana" w:cs="Arial"/>
          <w:noProof/>
          <w:sz w:val="18"/>
          <w:szCs w:val="18"/>
        </w:rPr>
      </w:pPr>
    </w:p>
    <w:p w:rsidR="00A64468" w:rsidRDefault="00A64468" w:rsidP="004409BF">
      <w:pPr>
        <w:tabs>
          <w:tab w:val="right" w:pos="9638"/>
        </w:tabs>
        <w:spacing w:afterLines="40"/>
        <w:ind w:left="284" w:right="284" w:hanging="104"/>
        <w:jc w:val="both"/>
        <w:rPr>
          <w:rFonts w:ascii="Verdana" w:hAnsi="Verdana" w:cs="Arial"/>
          <w:sz w:val="18"/>
          <w:szCs w:val="18"/>
        </w:rPr>
      </w:pPr>
    </w:p>
    <w:p w:rsidR="00A64468" w:rsidRPr="004409BF" w:rsidRDefault="00A64468" w:rsidP="004409BF">
      <w:pPr>
        <w:tabs>
          <w:tab w:val="right" w:pos="9638"/>
        </w:tabs>
        <w:ind w:left="284" w:right="284" w:hanging="104"/>
        <w:jc w:val="both"/>
        <w:rPr>
          <w:rFonts w:ascii="Verdana" w:hAnsi="Verdana" w:cs="Arial"/>
          <w:sz w:val="18"/>
          <w:szCs w:val="18"/>
        </w:rPr>
      </w:pPr>
    </w:p>
    <w:p w:rsidR="00870C1D" w:rsidRDefault="00870C1D" w:rsidP="004409BF">
      <w:pPr>
        <w:tabs>
          <w:tab w:val="right" w:pos="9638"/>
        </w:tabs>
        <w:ind w:left="284" w:right="284" w:hanging="104"/>
        <w:jc w:val="center"/>
        <w:rPr>
          <w:rFonts w:ascii="Verdana" w:hAnsi="Verdana" w:cs="Arial"/>
          <w:b/>
          <w:sz w:val="20"/>
          <w:szCs w:val="18"/>
        </w:rPr>
      </w:pPr>
    </w:p>
    <w:p w:rsidR="00870C1D" w:rsidRDefault="00870C1D" w:rsidP="004409BF">
      <w:pPr>
        <w:tabs>
          <w:tab w:val="right" w:pos="9638"/>
        </w:tabs>
        <w:ind w:left="284" w:right="284" w:hanging="104"/>
        <w:jc w:val="center"/>
        <w:rPr>
          <w:rFonts w:ascii="Verdana" w:hAnsi="Verdana" w:cs="Arial"/>
          <w:b/>
          <w:sz w:val="20"/>
          <w:szCs w:val="18"/>
        </w:rPr>
      </w:pPr>
    </w:p>
    <w:p w:rsidR="00A64468" w:rsidRPr="004409BF" w:rsidRDefault="00F96B46" w:rsidP="004409BF">
      <w:pPr>
        <w:tabs>
          <w:tab w:val="right" w:pos="9638"/>
        </w:tabs>
        <w:ind w:left="284" w:right="284" w:hanging="104"/>
        <w:jc w:val="center"/>
        <w:rPr>
          <w:rFonts w:ascii="Verdana" w:hAnsi="Verdana" w:cs="Arial"/>
          <w:b/>
          <w:sz w:val="20"/>
          <w:szCs w:val="18"/>
        </w:rPr>
      </w:pPr>
      <w:r w:rsidRPr="004409BF">
        <w:rPr>
          <w:rFonts w:ascii="Verdana" w:hAnsi="Verdana" w:cs="Arial"/>
          <w:b/>
          <w:sz w:val="20"/>
          <w:szCs w:val="18"/>
        </w:rPr>
        <w:t>COMUNICATO STAMPA</w:t>
      </w:r>
    </w:p>
    <w:p w:rsidR="00F96B46" w:rsidRDefault="00F96B46" w:rsidP="004409BF">
      <w:pPr>
        <w:tabs>
          <w:tab w:val="right" w:pos="9638"/>
        </w:tabs>
        <w:ind w:left="284" w:right="284" w:hanging="104"/>
        <w:jc w:val="center"/>
        <w:rPr>
          <w:rFonts w:ascii="Verdana" w:hAnsi="Verdana" w:cs="Arial"/>
          <w:sz w:val="18"/>
          <w:szCs w:val="18"/>
        </w:rPr>
      </w:pPr>
    </w:p>
    <w:p w:rsidR="00870C1D" w:rsidRPr="004409BF" w:rsidRDefault="00870C1D" w:rsidP="004409BF">
      <w:pPr>
        <w:tabs>
          <w:tab w:val="right" w:pos="9638"/>
        </w:tabs>
        <w:ind w:left="284" w:right="284" w:hanging="104"/>
        <w:jc w:val="center"/>
        <w:rPr>
          <w:rFonts w:ascii="Verdana" w:hAnsi="Verdana" w:cs="Arial"/>
          <w:sz w:val="18"/>
          <w:szCs w:val="18"/>
        </w:rPr>
      </w:pPr>
    </w:p>
    <w:p w:rsidR="00B117D4" w:rsidRPr="004409BF" w:rsidRDefault="00A27F4D" w:rsidP="00870C1D">
      <w:pPr>
        <w:tabs>
          <w:tab w:val="right" w:pos="9638"/>
        </w:tabs>
        <w:ind w:right="-1"/>
        <w:jc w:val="both"/>
        <w:rPr>
          <w:rFonts w:ascii="Verdana" w:hAnsi="Verdana" w:cs="Arial"/>
          <w:b/>
          <w:sz w:val="18"/>
          <w:szCs w:val="18"/>
        </w:rPr>
      </w:pPr>
      <w:r w:rsidRPr="004409BF">
        <w:rPr>
          <w:rFonts w:ascii="Verdana" w:hAnsi="Verdana" w:cs="Arial"/>
          <w:b/>
          <w:sz w:val="18"/>
          <w:szCs w:val="18"/>
        </w:rPr>
        <w:t>Al via i lavori per la riqualificazione dell’ex Cinema Minerva!</w:t>
      </w:r>
    </w:p>
    <w:p w:rsidR="00A27F4D" w:rsidRPr="004409BF" w:rsidRDefault="00A27F4D" w:rsidP="00870C1D">
      <w:pPr>
        <w:tabs>
          <w:tab w:val="right" w:pos="9638"/>
        </w:tabs>
        <w:ind w:right="-1"/>
        <w:jc w:val="both"/>
        <w:rPr>
          <w:rFonts w:ascii="Verdana" w:hAnsi="Verdana" w:cs="Arial"/>
          <w:sz w:val="18"/>
          <w:szCs w:val="18"/>
        </w:rPr>
      </w:pPr>
      <w:r w:rsidRPr="004409BF">
        <w:rPr>
          <w:rFonts w:ascii="Verdana" w:hAnsi="Verdana" w:cs="Arial"/>
          <w:sz w:val="18"/>
          <w:szCs w:val="18"/>
        </w:rPr>
        <w:t>Dopo anni di oblio verrà restituito alla città l’ex Cinema Minerva.</w:t>
      </w:r>
    </w:p>
    <w:p w:rsidR="00A27F4D" w:rsidRPr="004409BF" w:rsidRDefault="00A27F4D" w:rsidP="00870C1D">
      <w:pPr>
        <w:tabs>
          <w:tab w:val="right" w:pos="9638"/>
        </w:tabs>
        <w:ind w:right="-1"/>
        <w:jc w:val="both"/>
        <w:rPr>
          <w:rFonts w:ascii="Verdana" w:hAnsi="Verdana" w:cs="Arial"/>
          <w:sz w:val="18"/>
          <w:szCs w:val="18"/>
        </w:rPr>
      </w:pPr>
      <w:r w:rsidRPr="004409BF">
        <w:rPr>
          <w:rFonts w:ascii="Verdana" w:hAnsi="Verdana" w:cs="Arial"/>
          <w:sz w:val="18"/>
          <w:szCs w:val="18"/>
        </w:rPr>
        <w:t>Galatone potrà finalmente disporre, nel cuore del centro storico, di uno spazio aggregativo predisposto</w:t>
      </w:r>
      <w:bookmarkStart w:id="0" w:name="_GoBack"/>
      <w:bookmarkEnd w:id="0"/>
      <w:r w:rsidRPr="004409BF">
        <w:rPr>
          <w:rFonts w:ascii="Verdana" w:hAnsi="Verdana" w:cs="Arial"/>
          <w:sz w:val="18"/>
          <w:szCs w:val="18"/>
        </w:rPr>
        <w:t xml:space="preserve"> per ospitare 260 posti a sedere da destinarsi ad eventi culturali, sociali, ricreativi, convegni, conferenze e proiezioni cinematografiche occasionali.</w:t>
      </w:r>
    </w:p>
    <w:p w:rsidR="00A27F4D" w:rsidRPr="004409BF" w:rsidRDefault="00A27F4D" w:rsidP="00870C1D">
      <w:pPr>
        <w:tabs>
          <w:tab w:val="right" w:pos="9638"/>
        </w:tabs>
        <w:ind w:right="-1"/>
        <w:jc w:val="both"/>
        <w:rPr>
          <w:rFonts w:ascii="Verdana" w:hAnsi="Verdana" w:cs="Arial"/>
          <w:sz w:val="18"/>
          <w:szCs w:val="18"/>
        </w:rPr>
      </w:pPr>
      <w:r w:rsidRPr="004409BF">
        <w:rPr>
          <w:rFonts w:ascii="Verdana" w:hAnsi="Verdana" w:cs="Arial"/>
          <w:sz w:val="18"/>
          <w:szCs w:val="18"/>
        </w:rPr>
        <w:t>In questi giorni infatti sono partiti i lavori di riqualificazione dello storico cinema</w:t>
      </w:r>
      <w:r w:rsidR="008704BF" w:rsidRPr="004409BF">
        <w:rPr>
          <w:rFonts w:ascii="Verdana" w:hAnsi="Verdana" w:cs="Arial"/>
          <w:sz w:val="18"/>
          <w:szCs w:val="18"/>
        </w:rPr>
        <w:t>, conosciuto anche come cinema Vaglio,</w:t>
      </w:r>
      <w:r w:rsidRPr="004409BF">
        <w:rPr>
          <w:rFonts w:ascii="Verdana" w:hAnsi="Verdana" w:cs="Arial"/>
          <w:sz w:val="18"/>
          <w:szCs w:val="18"/>
        </w:rPr>
        <w:t xml:space="preserve"> </w:t>
      </w:r>
      <w:r w:rsidR="00A9292F" w:rsidRPr="004409BF">
        <w:rPr>
          <w:rFonts w:ascii="Verdana" w:hAnsi="Verdana" w:cs="Arial"/>
          <w:sz w:val="18"/>
          <w:szCs w:val="18"/>
        </w:rPr>
        <w:t>la cui realizzazione</w:t>
      </w:r>
      <w:r w:rsidR="008704BF" w:rsidRPr="004409BF">
        <w:rPr>
          <w:rFonts w:ascii="Verdana" w:hAnsi="Verdana" w:cs="Arial"/>
          <w:sz w:val="18"/>
          <w:szCs w:val="18"/>
        </w:rPr>
        <w:t xml:space="preserve">, su progetto dell’ing. Scipione </w:t>
      </w:r>
      <w:proofErr w:type="spellStart"/>
      <w:r w:rsidR="008704BF" w:rsidRPr="004409BF">
        <w:rPr>
          <w:rFonts w:ascii="Verdana" w:hAnsi="Verdana" w:cs="Arial"/>
          <w:sz w:val="18"/>
          <w:szCs w:val="18"/>
        </w:rPr>
        <w:t>Megha</w:t>
      </w:r>
      <w:proofErr w:type="spellEnd"/>
      <w:r w:rsidR="008704BF" w:rsidRPr="004409BF">
        <w:rPr>
          <w:rFonts w:ascii="Verdana" w:hAnsi="Verdana" w:cs="Arial"/>
          <w:sz w:val="18"/>
          <w:szCs w:val="18"/>
        </w:rPr>
        <w:t>,</w:t>
      </w:r>
      <w:r w:rsidR="00A9292F" w:rsidRPr="004409BF">
        <w:rPr>
          <w:rFonts w:ascii="Verdana" w:hAnsi="Verdana" w:cs="Arial"/>
          <w:sz w:val="18"/>
          <w:szCs w:val="18"/>
        </w:rPr>
        <w:t xml:space="preserve"> risale alla fine degli Anni </w:t>
      </w:r>
      <w:r w:rsidR="008704BF" w:rsidRPr="004409BF">
        <w:rPr>
          <w:rFonts w:ascii="Verdana" w:hAnsi="Verdana" w:cs="Arial"/>
          <w:sz w:val="18"/>
          <w:szCs w:val="18"/>
        </w:rPr>
        <w:t xml:space="preserve">Quaranta per iniziativa del cav. Giovanni Vaglio, intraprendente imprenditore agricolo con la passione del cinema, del varietà e dell’operetta. </w:t>
      </w:r>
      <w:r w:rsidR="00A9292F" w:rsidRPr="004409BF">
        <w:rPr>
          <w:rFonts w:ascii="Verdana" w:hAnsi="Verdana" w:cs="Arial"/>
          <w:sz w:val="18"/>
          <w:szCs w:val="18"/>
        </w:rPr>
        <w:t xml:space="preserve"> L’edificio, destinato a spettacoli teatrali e proiezioni cinematografiche ha funzionato sino al 1987. Poi l’abbandono ed il degrado.</w:t>
      </w:r>
    </w:p>
    <w:p w:rsidR="008B2626" w:rsidRPr="004409BF" w:rsidRDefault="00137BD8" w:rsidP="00870C1D">
      <w:pPr>
        <w:autoSpaceDE w:val="0"/>
        <w:autoSpaceDN w:val="0"/>
        <w:adjustRightInd w:val="0"/>
        <w:ind w:right="-1"/>
        <w:jc w:val="both"/>
        <w:rPr>
          <w:rFonts w:ascii="Verdana" w:hAnsi="Verdana" w:cs="Times-Bold"/>
          <w:bCs/>
          <w:sz w:val="18"/>
          <w:szCs w:val="18"/>
        </w:rPr>
      </w:pPr>
      <w:r w:rsidRPr="004409BF">
        <w:rPr>
          <w:rFonts w:ascii="Verdana" w:hAnsi="Verdana" w:cs="Times-Bold"/>
          <w:bCs/>
          <w:sz w:val="18"/>
          <w:szCs w:val="18"/>
        </w:rPr>
        <w:t xml:space="preserve">Ammesso al </w:t>
      </w:r>
      <w:r w:rsidR="008B2626" w:rsidRPr="004409BF">
        <w:rPr>
          <w:rFonts w:ascii="Verdana" w:hAnsi="Verdana" w:cs="Times-Bold"/>
          <w:bCs/>
          <w:sz w:val="18"/>
          <w:szCs w:val="18"/>
        </w:rPr>
        <w:t>Bando per il finanziamento in favore dei</w:t>
      </w:r>
      <w:r w:rsidRPr="004409BF">
        <w:rPr>
          <w:rFonts w:ascii="Verdana" w:hAnsi="Verdana" w:cs="Times-Bold"/>
          <w:bCs/>
          <w:sz w:val="18"/>
          <w:szCs w:val="18"/>
        </w:rPr>
        <w:t xml:space="preserve"> </w:t>
      </w:r>
      <w:r w:rsidR="008B2626" w:rsidRPr="004409BF">
        <w:rPr>
          <w:rFonts w:ascii="Verdana" w:hAnsi="Verdana" w:cs="Times-Bold"/>
          <w:bCs/>
          <w:sz w:val="18"/>
          <w:szCs w:val="18"/>
        </w:rPr>
        <w:t>Comuni pugliesi di opere di urbanizzazione primaria</w:t>
      </w:r>
    </w:p>
    <w:p w:rsidR="00A27F4D" w:rsidRPr="004409BF" w:rsidRDefault="008B2626" w:rsidP="00870C1D">
      <w:pPr>
        <w:autoSpaceDE w:val="0"/>
        <w:autoSpaceDN w:val="0"/>
        <w:adjustRightInd w:val="0"/>
        <w:ind w:right="-1"/>
        <w:jc w:val="both"/>
        <w:rPr>
          <w:rFonts w:ascii="Verdana" w:hAnsi="Verdana" w:cs="Times-Bold"/>
          <w:bCs/>
          <w:sz w:val="18"/>
          <w:szCs w:val="18"/>
        </w:rPr>
      </w:pPr>
      <w:r w:rsidRPr="004409BF">
        <w:rPr>
          <w:rFonts w:ascii="Verdana" w:hAnsi="Verdana" w:cs="Times-Bold"/>
          <w:bCs/>
          <w:sz w:val="18"/>
          <w:szCs w:val="18"/>
        </w:rPr>
        <w:t>e secondaria nell’ambito di insediamenti</w:t>
      </w:r>
      <w:r w:rsidR="00137BD8" w:rsidRPr="004409BF">
        <w:rPr>
          <w:rFonts w:ascii="Verdana" w:hAnsi="Verdana" w:cs="Times-Bold"/>
          <w:bCs/>
          <w:sz w:val="18"/>
          <w:szCs w:val="18"/>
        </w:rPr>
        <w:t xml:space="preserve"> </w:t>
      </w:r>
      <w:r w:rsidRPr="004409BF">
        <w:rPr>
          <w:rFonts w:ascii="Verdana" w:hAnsi="Verdana" w:cs="Times-Bold"/>
          <w:bCs/>
          <w:sz w:val="18"/>
          <w:szCs w:val="18"/>
        </w:rPr>
        <w:t>di</w:t>
      </w:r>
      <w:r w:rsidR="00137BD8" w:rsidRPr="004409BF">
        <w:rPr>
          <w:rFonts w:ascii="Verdana" w:hAnsi="Verdana" w:cs="Times-Bold"/>
          <w:bCs/>
          <w:sz w:val="18"/>
          <w:szCs w:val="18"/>
        </w:rPr>
        <w:t xml:space="preserve"> edilizia residenziale pubblica di cui alla Del. G.R. 31 luglio 2012 n. 1562, </w:t>
      </w:r>
      <w:r w:rsidR="00062998" w:rsidRPr="004409BF">
        <w:rPr>
          <w:rFonts w:ascii="Verdana" w:hAnsi="Verdana" w:cs="Times-Bold"/>
          <w:bCs/>
          <w:sz w:val="18"/>
          <w:szCs w:val="18"/>
        </w:rPr>
        <w:t xml:space="preserve">il progetto, </w:t>
      </w:r>
      <w:r w:rsidR="00062998" w:rsidRPr="004409BF">
        <w:rPr>
          <w:rFonts w:ascii="Verdana" w:hAnsi="Verdana" w:cs="Times-Roman"/>
          <w:sz w:val="18"/>
          <w:szCs w:val="18"/>
        </w:rPr>
        <w:t>il cui ammontare della spesa è di 540.000,00 Euro, ha ottenuto fondi regionali per un importo pari a 400.000,00 Euro.</w:t>
      </w:r>
    </w:p>
    <w:p w:rsidR="00A27F4D" w:rsidRPr="004409BF" w:rsidRDefault="00062998" w:rsidP="00870C1D">
      <w:pPr>
        <w:autoSpaceDE w:val="0"/>
        <w:autoSpaceDN w:val="0"/>
        <w:adjustRightInd w:val="0"/>
        <w:ind w:right="-1"/>
        <w:jc w:val="both"/>
        <w:rPr>
          <w:rFonts w:ascii="Verdana" w:hAnsi="Verdana" w:cs="Times-Roman"/>
          <w:sz w:val="18"/>
          <w:szCs w:val="18"/>
        </w:rPr>
      </w:pPr>
      <w:r w:rsidRPr="004409BF">
        <w:rPr>
          <w:rFonts w:ascii="Verdana" w:hAnsi="Verdana" w:cs="Times-Bold"/>
          <w:bCs/>
          <w:sz w:val="18"/>
          <w:szCs w:val="18"/>
        </w:rPr>
        <w:t xml:space="preserve">L’intervento realizzato in </w:t>
      </w:r>
      <w:r w:rsidRPr="004409BF">
        <w:rPr>
          <w:rFonts w:ascii="Verdana" w:hAnsi="Verdana" w:cs="Times-Roman"/>
          <w:sz w:val="18"/>
          <w:szCs w:val="18"/>
        </w:rPr>
        <w:t>coerenza con la politica regionale di rigenerazione</w:t>
      </w:r>
      <w:r w:rsidRPr="004409BF">
        <w:rPr>
          <w:rFonts w:ascii="Verdana" w:hAnsi="Verdana" w:cs="Times-Bold"/>
          <w:bCs/>
          <w:sz w:val="18"/>
          <w:szCs w:val="18"/>
        </w:rPr>
        <w:t xml:space="preserve"> </w:t>
      </w:r>
      <w:r w:rsidRPr="004409BF">
        <w:rPr>
          <w:rFonts w:ascii="Verdana" w:hAnsi="Verdana" w:cs="Times-Roman"/>
          <w:sz w:val="18"/>
          <w:szCs w:val="18"/>
        </w:rPr>
        <w:t>ecologica delle aree urbane, e in particolare</w:t>
      </w:r>
      <w:r w:rsidRPr="004409BF">
        <w:rPr>
          <w:rFonts w:ascii="Verdana" w:hAnsi="Verdana" w:cs="Times-Bold"/>
          <w:bCs/>
          <w:sz w:val="18"/>
          <w:szCs w:val="18"/>
        </w:rPr>
        <w:t xml:space="preserve"> </w:t>
      </w:r>
      <w:r w:rsidRPr="004409BF">
        <w:rPr>
          <w:rFonts w:ascii="Verdana" w:hAnsi="Verdana" w:cs="Times-Roman"/>
          <w:sz w:val="18"/>
          <w:szCs w:val="18"/>
        </w:rPr>
        <w:t>con il protocollo Itaca Puglia</w:t>
      </w:r>
      <w:r w:rsidR="00B5361D" w:rsidRPr="004409BF">
        <w:rPr>
          <w:rFonts w:ascii="Verdana" w:hAnsi="Verdana" w:cs="Times-Roman"/>
          <w:sz w:val="18"/>
          <w:szCs w:val="18"/>
        </w:rPr>
        <w:t>,</w:t>
      </w:r>
      <w:r w:rsidRPr="004409BF">
        <w:rPr>
          <w:rFonts w:ascii="Verdana" w:hAnsi="Verdana" w:cs="Times-Roman"/>
          <w:sz w:val="18"/>
          <w:szCs w:val="18"/>
        </w:rPr>
        <w:t xml:space="preserve"> </w:t>
      </w:r>
      <w:r w:rsidR="00EC3784" w:rsidRPr="004409BF">
        <w:rPr>
          <w:rFonts w:ascii="Verdana" w:hAnsi="Verdana" w:cs="Times-Roman"/>
          <w:sz w:val="18"/>
          <w:szCs w:val="18"/>
        </w:rPr>
        <w:t>si basa su criteri di sostenibilità sociale ed ecologica prevedendo l’utilizzo di  sistemi costruttivi, tecnologie  e materiali che consentono di migliorare la qualità ambientale, l’efficienza energetica e la sostenibilità dell’abitare</w:t>
      </w:r>
      <w:r w:rsidR="00B5361D" w:rsidRPr="004409BF">
        <w:rPr>
          <w:rFonts w:ascii="Verdana" w:hAnsi="Verdana" w:cs="Times-Roman"/>
          <w:sz w:val="18"/>
          <w:szCs w:val="18"/>
        </w:rPr>
        <w:t>.</w:t>
      </w:r>
      <w:r w:rsidR="00EC3784" w:rsidRPr="004409BF">
        <w:rPr>
          <w:rFonts w:ascii="Verdana" w:hAnsi="Verdana" w:cs="Times-Roman"/>
          <w:sz w:val="18"/>
          <w:szCs w:val="18"/>
        </w:rPr>
        <w:t xml:space="preserve"> </w:t>
      </w:r>
    </w:p>
    <w:p w:rsidR="00E67F9D" w:rsidRPr="004409BF" w:rsidRDefault="00E67F9D" w:rsidP="00870C1D">
      <w:pPr>
        <w:tabs>
          <w:tab w:val="right" w:pos="9638"/>
        </w:tabs>
        <w:ind w:right="-1"/>
        <w:jc w:val="both"/>
        <w:rPr>
          <w:rFonts w:ascii="Verdana" w:hAnsi="Verdana" w:cs="Arial"/>
          <w:sz w:val="18"/>
          <w:szCs w:val="18"/>
        </w:rPr>
      </w:pPr>
      <w:r w:rsidRPr="004409BF">
        <w:rPr>
          <w:rFonts w:ascii="Verdana" w:hAnsi="Verdana" w:cs="Arial"/>
          <w:sz w:val="18"/>
          <w:szCs w:val="18"/>
        </w:rPr>
        <w:t>L’intervento di riqualificazione suddetto prevede:</w:t>
      </w:r>
    </w:p>
    <w:p w:rsidR="00E67F9D" w:rsidRPr="004409BF" w:rsidRDefault="00E67F9D" w:rsidP="00870C1D">
      <w:pPr>
        <w:pStyle w:val="Paragrafoelenco"/>
        <w:numPr>
          <w:ilvl w:val="0"/>
          <w:numId w:val="2"/>
        </w:numPr>
        <w:tabs>
          <w:tab w:val="right" w:pos="9638"/>
        </w:tabs>
        <w:ind w:right="-1"/>
        <w:jc w:val="both"/>
        <w:rPr>
          <w:rFonts w:ascii="Verdana" w:hAnsi="Verdana" w:cs="Arial"/>
          <w:sz w:val="18"/>
          <w:szCs w:val="18"/>
        </w:rPr>
      </w:pPr>
      <w:r w:rsidRPr="004409BF">
        <w:rPr>
          <w:rFonts w:ascii="Verdana" w:hAnsi="Verdana" w:cs="Arial"/>
          <w:sz w:val="18"/>
          <w:szCs w:val="18"/>
        </w:rPr>
        <w:t>l’adeguamento strutturale per consolidamento delle strutture esistenti e la manutenzione straordinaria di quelle con grado di criticità statico elevato;</w:t>
      </w:r>
    </w:p>
    <w:p w:rsidR="00E67F9D" w:rsidRPr="004409BF" w:rsidRDefault="00E67F9D" w:rsidP="00870C1D">
      <w:pPr>
        <w:pStyle w:val="Paragrafoelenco"/>
        <w:numPr>
          <w:ilvl w:val="0"/>
          <w:numId w:val="2"/>
        </w:numPr>
        <w:tabs>
          <w:tab w:val="right" w:pos="9638"/>
        </w:tabs>
        <w:ind w:right="-1"/>
        <w:jc w:val="both"/>
        <w:rPr>
          <w:rFonts w:ascii="Verdana" w:hAnsi="Verdana" w:cs="Arial"/>
          <w:sz w:val="18"/>
          <w:szCs w:val="18"/>
        </w:rPr>
      </w:pPr>
      <w:r w:rsidRPr="004409BF">
        <w:rPr>
          <w:rFonts w:ascii="Verdana" w:hAnsi="Verdana" w:cs="Arial"/>
          <w:sz w:val="18"/>
          <w:szCs w:val="18"/>
        </w:rPr>
        <w:t>l’adeguamento impiantistico;</w:t>
      </w:r>
    </w:p>
    <w:p w:rsidR="00E67F9D" w:rsidRPr="004409BF" w:rsidRDefault="00E67F9D" w:rsidP="00870C1D">
      <w:pPr>
        <w:pStyle w:val="Paragrafoelenco"/>
        <w:numPr>
          <w:ilvl w:val="0"/>
          <w:numId w:val="2"/>
        </w:numPr>
        <w:tabs>
          <w:tab w:val="right" w:pos="9638"/>
        </w:tabs>
        <w:ind w:right="-1"/>
        <w:jc w:val="both"/>
        <w:rPr>
          <w:rFonts w:ascii="Verdana" w:hAnsi="Verdana" w:cs="Arial"/>
          <w:sz w:val="18"/>
          <w:szCs w:val="18"/>
        </w:rPr>
      </w:pPr>
      <w:r w:rsidRPr="004409BF">
        <w:rPr>
          <w:rFonts w:ascii="Verdana" w:hAnsi="Verdana" w:cs="Arial"/>
          <w:sz w:val="18"/>
          <w:szCs w:val="18"/>
        </w:rPr>
        <w:t>l’adeguamento normativo in materia di abbattimento delle barriere architettoniche e di prevenzione incendi.</w:t>
      </w:r>
    </w:p>
    <w:p w:rsidR="0069097E" w:rsidRPr="004409BF" w:rsidRDefault="0069097E" w:rsidP="00870C1D">
      <w:pPr>
        <w:tabs>
          <w:tab w:val="right" w:pos="9638"/>
        </w:tabs>
        <w:ind w:right="-1"/>
        <w:jc w:val="both"/>
        <w:rPr>
          <w:rFonts w:ascii="Verdana" w:hAnsi="Verdana" w:cs="Arial"/>
          <w:sz w:val="18"/>
          <w:szCs w:val="18"/>
        </w:rPr>
      </w:pPr>
      <w:r w:rsidRPr="004409BF">
        <w:rPr>
          <w:rFonts w:ascii="Verdana" w:hAnsi="Verdana" w:cs="Arial"/>
          <w:sz w:val="18"/>
          <w:szCs w:val="18"/>
        </w:rPr>
        <w:t xml:space="preserve">L’ex Cinema Minerva destinato a Servizi di quartiere </w:t>
      </w:r>
      <w:r w:rsidR="005B2097" w:rsidRPr="004409BF">
        <w:rPr>
          <w:rFonts w:ascii="Verdana" w:hAnsi="Verdana" w:cs="Arial"/>
          <w:sz w:val="18"/>
          <w:szCs w:val="18"/>
        </w:rPr>
        <w:t>una volta completato potrà diventare una zona “simbolo”</w:t>
      </w:r>
      <w:r w:rsidR="003454F4" w:rsidRPr="004409BF">
        <w:rPr>
          <w:rFonts w:ascii="Verdana" w:hAnsi="Verdana" w:cs="Arial"/>
          <w:sz w:val="18"/>
          <w:szCs w:val="18"/>
        </w:rPr>
        <w:t xml:space="preserve"> per Galatone e per il suo centro storico ma </w:t>
      </w:r>
      <w:r w:rsidR="005B2097" w:rsidRPr="004409BF">
        <w:rPr>
          <w:rFonts w:ascii="Verdana" w:hAnsi="Verdana" w:cs="Arial"/>
          <w:sz w:val="18"/>
          <w:szCs w:val="18"/>
        </w:rPr>
        <w:t xml:space="preserve"> </w:t>
      </w:r>
      <w:r w:rsidR="003454F4" w:rsidRPr="004409BF">
        <w:rPr>
          <w:rFonts w:ascii="Verdana" w:hAnsi="Verdana" w:cs="Arial"/>
          <w:sz w:val="18"/>
          <w:szCs w:val="18"/>
        </w:rPr>
        <w:t>anche</w:t>
      </w:r>
      <w:r w:rsidR="008B6619" w:rsidRPr="004409BF">
        <w:rPr>
          <w:rFonts w:ascii="Verdana" w:hAnsi="Verdana" w:cs="Arial"/>
          <w:sz w:val="18"/>
          <w:szCs w:val="18"/>
        </w:rPr>
        <w:t xml:space="preserve"> un tassello importante </w:t>
      </w:r>
      <w:r w:rsidR="003454F4" w:rsidRPr="004409BF">
        <w:rPr>
          <w:rFonts w:ascii="Verdana" w:hAnsi="Verdana" w:cs="Arial"/>
          <w:sz w:val="18"/>
          <w:szCs w:val="18"/>
        </w:rPr>
        <w:t xml:space="preserve">nell’ambizioso </w:t>
      </w:r>
      <w:r w:rsidR="008B6619" w:rsidRPr="004409BF">
        <w:rPr>
          <w:rFonts w:ascii="Verdana" w:hAnsi="Verdana" w:cs="Arial"/>
          <w:sz w:val="18"/>
          <w:szCs w:val="18"/>
        </w:rPr>
        <w:t xml:space="preserve"> progetto </w:t>
      </w:r>
      <w:r w:rsidR="003454F4" w:rsidRPr="004409BF">
        <w:rPr>
          <w:rFonts w:ascii="Verdana" w:hAnsi="Verdana"/>
          <w:color w:val="333333"/>
          <w:sz w:val="18"/>
          <w:szCs w:val="18"/>
        </w:rPr>
        <w:t>di crescita e di sviluppo complessivo</w:t>
      </w:r>
      <w:r w:rsidR="003454F4" w:rsidRPr="004409BF">
        <w:rPr>
          <w:rFonts w:ascii="Verdana" w:hAnsi="Verdana" w:cs="Arial"/>
          <w:sz w:val="18"/>
          <w:szCs w:val="18"/>
        </w:rPr>
        <w:t xml:space="preserve"> </w:t>
      </w:r>
      <w:r w:rsidR="008B6619" w:rsidRPr="004409BF">
        <w:rPr>
          <w:rFonts w:ascii="Verdana" w:hAnsi="Verdana" w:cs="Arial"/>
          <w:sz w:val="18"/>
          <w:szCs w:val="18"/>
        </w:rPr>
        <w:t>“Galatone Città del Galateo”</w:t>
      </w:r>
      <w:r w:rsidR="003454F4" w:rsidRPr="004409BF">
        <w:rPr>
          <w:rFonts w:ascii="Verdana" w:hAnsi="Verdana"/>
          <w:color w:val="333333"/>
          <w:sz w:val="12"/>
          <w:szCs w:val="12"/>
        </w:rPr>
        <w:t xml:space="preserve"> .</w:t>
      </w:r>
    </w:p>
    <w:p w:rsidR="005312D4" w:rsidRPr="004409BF" w:rsidRDefault="005312D4" w:rsidP="00870C1D">
      <w:pPr>
        <w:tabs>
          <w:tab w:val="right" w:pos="9638"/>
        </w:tabs>
        <w:ind w:right="-1"/>
        <w:jc w:val="both"/>
        <w:rPr>
          <w:rFonts w:ascii="Verdana" w:hAnsi="Verdana"/>
          <w:szCs w:val="24"/>
        </w:rPr>
      </w:pPr>
      <w:r w:rsidRPr="004409BF">
        <w:rPr>
          <w:rFonts w:ascii="Verdana" w:hAnsi="Verdana" w:cs="Arial"/>
          <w:sz w:val="18"/>
          <w:szCs w:val="18"/>
        </w:rPr>
        <w:t xml:space="preserve">La rinascita dell’ex Cinema Minerva e la sua restituzione alla comunità potrà rappresentare il primo passo di quella agognata </w:t>
      </w:r>
      <w:r w:rsidRPr="004409BF">
        <w:rPr>
          <w:rFonts w:ascii="Verdana" w:hAnsi="Verdana"/>
          <w:sz w:val="18"/>
          <w:szCs w:val="18"/>
        </w:rPr>
        <w:t>riqualificazione del Centro Storico</w:t>
      </w:r>
      <w:r w:rsidR="003C4CD2" w:rsidRPr="004409BF">
        <w:rPr>
          <w:rFonts w:ascii="Verdana" w:hAnsi="Verdana"/>
          <w:sz w:val="18"/>
          <w:szCs w:val="18"/>
        </w:rPr>
        <w:t xml:space="preserve"> nonché il volano</w:t>
      </w:r>
      <w:r w:rsidRPr="004409BF">
        <w:rPr>
          <w:rFonts w:ascii="Verdana" w:hAnsi="Verdana"/>
          <w:sz w:val="18"/>
          <w:szCs w:val="18"/>
        </w:rPr>
        <w:t xml:space="preserve"> </w:t>
      </w:r>
      <w:r w:rsidR="003C4CD2" w:rsidRPr="004409BF">
        <w:rPr>
          <w:rFonts w:ascii="Verdana" w:hAnsi="Verdana"/>
          <w:sz w:val="18"/>
          <w:szCs w:val="18"/>
        </w:rPr>
        <w:t>di</w:t>
      </w:r>
      <w:r w:rsidRPr="004409BF">
        <w:rPr>
          <w:rFonts w:ascii="Verdana" w:hAnsi="Verdana"/>
          <w:sz w:val="18"/>
          <w:szCs w:val="18"/>
        </w:rPr>
        <w:t xml:space="preserve"> una serie di iniziative che migliorino l’arredo urbano, favoriscano l’insediamento di attività commerciali, centro propulsore per lo sviluppo della cultura, della promozione del territorio e della coesione sociale</w:t>
      </w:r>
      <w:r w:rsidR="003C4CD2" w:rsidRPr="004409BF">
        <w:rPr>
          <w:rFonts w:ascii="Verdana" w:hAnsi="Verdana"/>
          <w:sz w:val="18"/>
          <w:szCs w:val="18"/>
        </w:rPr>
        <w:t xml:space="preserve">. </w:t>
      </w:r>
    </w:p>
    <w:p w:rsidR="005312D4" w:rsidRPr="004409BF" w:rsidRDefault="005312D4" w:rsidP="00870C1D">
      <w:pPr>
        <w:tabs>
          <w:tab w:val="right" w:pos="9638"/>
        </w:tabs>
        <w:ind w:right="-1"/>
        <w:jc w:val="both"/>
        <w:rPr>
          <w:rFonts w:ascii="Verdana" w:hAnsi="Verdana" w:cs="Arial"/>
          <w:sz w:val="18"/>
          <w:szCs w:val="18"/>
        </w:rPr>
      </w:pPr>
    </w:p>
    <w:p w:rsidR="004409BF" w:rsidRPr="004409BF" w:rsidRDefault="004409BF" w:rsidP="00870C1D">
      <w:pPr>
        <w:tabs>
          <w:tab w:val="right" w:pos="9638"/>
        </w:tabs>
        <w:ind w:right="-1"/>
        <w:jc w:val="both"/>
        <w:rPr>
          <w:rFonts w:ascii="Verdana" w:hAnsi="Verdana" w:cs="Arial"/>
          <w:sz w:val="18"/>
          <w:szCs w:val="18"/>
        </w:rPr>
      </w:pPr>
      <w:r w:rsidRPr="004409BF">
        <w:rPr>
          <w:rFonts w:ascii="Verdana" w:hAnsi="Verdana" w:cs="Arial"/>
          <w:sz w:val="18"/>
          <w:szCs w:val="18"/>
        </w:rPr>
        <w:t>Galatone, 2 dicembre 2013</w:t>
      </w:r>
    </w:p>
    <w:p w:rsidR="004409BF" w:rsidRPr="004409BF" w:rsidRDefault="004409BF" w:rsidP="00870C1D">
      <w:pPr>
        <w:tabs>
          <w:tab w:val="right" w:pos="9638"/>
        </w:tabs>
        <w:ind w:right="-1"/>
        <w:jc w:val="both"/>
        <w:rPr>
          <w:rFonts w:ascii="Verdana" w:hAnsi="Verdana" w:cs="Arial"/>
          <w:sz w:val="18"/>
          <w:szCs w:val="18"/>
        </w:rPr>
      </w:pPr>
    </w:p>
    <w:p w:rsidR="004409BF" w:rsidRPr="004409BF" w:rsidRDefault="004409BF" w:rsidP="00870C1D">
      <w:pPr>
        <w:tabs>
          <w:tab w:val="right" w:pos="9638"/>
        </w:tabs>
        <w:ind w:right="-1"/>
        <w:jc w:val="both"/>
        <w:rPr>
          <w:rFonts w:ascii="Verdana" w:hAnsi="Verdana" w:cs="Arial"/>
          <w:sz w:val="18"/>
          <w:szCs w:val="18"/>
        </w:rPr>
      </w:pPr>
    </w:p>
    <w:p w:rsidR="00F96B46" w:rsidRPr="004409BF" w:rsidRDefault="004409BF" w:rsidP="00870C1D">
      <w:pPr>
        <w:tabs>
          <w:tab w:val="right" w:pos="9638"/>
        </w:tabs>
        <w:ind w:right="-1"/>
        <w:jc w:val="both"/>
        <w:rPr>
          <w:rFonts w:ascii="Verdana" w:hAnsi="Verdana" w:cs="Arial"/>
          <w:sz w:val="18"/>
          <w:szCs w:val="18"/>
        </w:rPr>
      </w:pPr>
      <w:r w:rsidRPr="004409BF">
        <w:rPr>
          <w:rFonts w:ascii="Verdana" w:hAnsi="Verdana" w:cs="Arial"/>
          <w:sz w:val="18"/>
          <w:szCs w:val="18"/>
        </w:rPr>
        <w:tab/>
      </w:r>
      <w:r w:rsidRPr="004409BF">
        <w:rPr>
          <w:rFonts w:ascii="Verdana" w:hAnsi="Verdana" w:cs="Arial"/>
          <w:sz w:val="18"/>
          <w:szCs w:val="18"/>
        </w:rPr>
        <w:tab/>
      </w:r>
      <w:r w:rsidRPr="004409BF">
        <w:rPr>
          <w:rFonts w:ascii="Verdana" w:hAnsi="Verdana" w:cs="Arial"/>
          <w:sz w:val="18"/>
          <w:szCs w:val="18"/>
        </w:rPr>
        <w:tab/>
      </w:r>
    </w:p>
    <w:p w:rsidR="004409BF" w:rsidRDefault="004409BF" w:rsidP="00870C1D">
      <w:pPr>
        <w:pStyle w:val="Titolo"/>
        <w:ind w:left="6372" w:right="-1"/>
        <w:jc w:val="left"/>
        <w:outlineLvl w:val="0"/>
        <w:rPr>
          <w:rFonts w:ascii="Verdana" w:hAnsi="Verdana" w:cs="Times New Roman"/>
          <w:bCs/>
          <w:sz w:val="18"/>
          <w:szCs w:val="18"/>
        </w:rPr>
      </w:pPr>
      <w:r w:rsidRPr="004409BF">
        <w:rPr>
          <w:rFonts w:ascii="Verdana" w:hAnsi="Verdana" w:cs="Times New Roman"/>
          <w:bCs/>
          <w:sz w:val="18"/>
          <w:szCs w:val="18"/>
        </w:rPr>
        <w:t>Segreteria del Sindaco</w:t>
      </w:r>
      <w:r w:rsidR="0092338C" w:rsidRPr="004409BF">
        <w:rPr>
          <w:rFonts w:ascii="Verdana" w:hAnsi="Verdana" w:cs="Times New Roman"/>
          <w:bCs/>
          <w:sz w:val="18"/>
          <w:szCs w:val="18"/>
        </w:rPr>
        <w:tab/>
      </w:r>
      <w:r w:rsidRPr="004409BF">
        <w:rPr>
          <w:rFonts w:ascii="Verdana" w:hAnsi="Verdana" w:cs="Times New Roman"/>
          <w:bCs/>
          <w:sz w:val="18"/>
          <w:szCs w:val="18"/>
        </w:rPr>
        <w:tab/>
        <w:t xml:space="preserve">  </w:t>
      </w:r>
      <w:r>
        <w:rPr>
          <w:rFonts w:ascii="Verdana" w:hAnsi="Verdana" w:cs="Times New Roman"/>
          <w:bCs/>
          <w:sz w:val="18"/>
          <w:szCs w:val="18"/>
        </w:rPr>
        <w:t xml:space="preserve">   </w:t>
      </w:r>
    </w:p>
    <w:p w:rsidR="00BC0819" w:rsidRPr="004409BF" w:rsidRDefault="004409BF" w:rsidP="00870C1D">
      <w:pPr>
        <w:pStyle w:val="Titolo"/>
        <w:ind w:left="6372" w:right="-1"/>
        <w:jc w:val="left"/>
        <w:outlineLvl w:val="0"/>
        <w:rPr>
          <w:rFonts w:ascii="Verdana" w:hAnsi="Verdana" w:cs="Times New Roman"/>
          <w:bCs/>
          <w:sz w:val="18"/>
          <w:szCs w:val="18"/>
        </w:rPr>
      </w:pPr>
      <w:r>
        <w:rPr>
          <w:rFonts w:ascii="Verdana" w:hAnsi="Verdana" w:cs="Times New Roman"/>
          <w:bCs/>
          <w:sz w:val="18"/>
          <w:szCs w:val="18"/>
        </w:rPr>
        <w:t xml:space="preserve">  </w:t>
      </w:r>
      <w:r w:rsidRPr="004409BF">
        <w:rPr>
          <w:rFonts w:ascii="Verdana" w:hAnsi="Verdana" w:cs="Times New Roman"/>
          <w:bCs/>
          <w:sz w:val="18"/>
          <w:szCs w:val="18"/>
        </w:rPr>
        <w:t>Comune di Galatone</w:t>
      </w:r>
      <w:r w:rsidR="0092338C" w:rsidRPr="004409BF">
        <w:rPr>
          <w:rFonts w:ascii="Verdana" w:hAnsi="Verdana" w:cs="Times New Roman"/>
          <w:bCs/>
          <w:sz w:val="18"/>
          <w:szCs w:val="18"/>
        </w:rPr>
        <w:tab/>
      </w:r>
    </w:p>
    <w:p w:rsidR="006970F0" w:rsidRPr="004409BF" w:rsidRDefault="006970F0" w:rsidP="00870C1D">
      <w:pPr>
        <w:ind w:right="-1"/>
        <w:rPr>
          <w:rFonts w:ascii="Verdana" w:hAnsi="Verdana"/>
          <w:sz w:val="18"/>
          <w:szCs w:val="18"/>
        </w:rPr>
      </w:pPr>
    </w:p>
    <w:p w:rsidR="006833AA" w:rsidRPr="004409BF" w:rsidRDefault="006833AA" w:rsidP="00870C1D">
      <w:pPr>
        <w:tabs>
          <w:tab w:val="left" w:pos="-6000"/>
        </w:tabs>
        <w:ind w:left="6372" w:right="-1"/>
        <w:rPr>
          <w:rFonts w:ascii="Verdana" w:hAnsi="Verdana"/>
          <w:sz w:val="18"/>
          <w:szCs w:val="18"/>
        </w:rPr>
      </w:pPr>
    </w:p>
    <w:p w:rsidR="002E7349" w:rsidRPr="000A4355" w:rsidRDefault="002E7349" w:rsidP="00870C1D">
      <w:pPr>
        <w:tabs>
          <w:tab w:val="left" w:pos="-6000"/>
        </w:tabs>
        <w:ind w:left="6372" w:right="-1"/>
        <w:jc w:val="both"/>
      </w:pPr>
    </w:p>
    <w:sectPr w:rsidR="002E7349" w:rsidRPr="000A4355" w:rsidSect="006833AA">
      <w:pgSz w:w="11906" w:h="16838" w:code="9"/>
      <w:pgMar w:top="425" w:right="1134" w:bottom="709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5D2" w:rsidRDefault="00AD15D2">
      <w:r>
        <w:separator/>
      </w:r>
    </w:p>
  </w:endnote>
  <w:endnote w:type="continuationSeparator" w:id="0">
    <w:p w:rsidR="00AD15D2" w:rsidRDefault="00AD1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5D2" w:rsidRDefault="00AD15D2">
      <w:r>
        <w:separator/>
      </w:r>
    </w:p>
  </w:footnote>
  <w:footnote w:type="continuationSeparator" w:id="0">
    <w:p w:rsidR="00AD15D2" w:rsidRDefault="00AD1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489"/>
    <w:multiLevelType w:val="hybridMultilevel"/>
    <w:tmpl w:val="6ECE5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B526C"/>
    <w:multiLevelType w:val="hybridMultilevel"/>
    <w:tmpl w:val="90B019E2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70BF21AD"/>
    <w:multiLevelType w:val="hybridMultilevel"/>
    <w:tmpl w:val="2116954C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attachedTemplate r:id="rId1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5122" style="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97AC4"/>
    <w:rsid w:val="0002344B"/>
    <w:rsid w:val="00037455"/>
    <w:rsid w:val="000421F2"/>
    <w:rsid w:val="000442FA"/>
    <w:rsid w:val="00062998"/>
    <w:rsid w:val="000802D3"/>
    <w:rsid w:val="00094E7D"/>
    <w:rsid w:val="000A4355"/>
    <w:rsid w:val="000B5C43"/>
    <w:rsid w:val="00105AA8"/>
    <w:rsid w:val="00123489"/>
    <w:rsid w:val="00132565"/>
    <w:rsid w:val="00137BD8"/>
    <w:rsid w:val="001F5DAC"/>
    <w:rsid w:val="001F76B9"/>
    <w:rsid w:val="00202134"/>
    <w:rsid w:val="002269FD"/>
    <w:rsid w:val="00297AC4"/>
    <w:rsid w:val="002D172C"/>
    <w:rsid w:val="002D2921"/>
    <w:rsid w:val="002E7349"/>
    <w:rsid w:val="00343B83"/>
    <w:rsid w:val="003454F4"/>
    <w:rsid w:val="003778C8"/>
    <w:rsid w:val="003B1FF4"/>
    <w:rsid w:val="003B236D"/>
    <w:rsid w:val="003C4CD2"/>
    <w:rsid w:val="003C6CCD"/>
    <w:rsid w:val="003E48AE"/>
    <w:rsid w:val="00413956"/>
    <w:rsid w:val="004409BF"/>
    <w:rsid w:val="00471B26"/>
    <w:rsid w:val="00487B23"/>
    <w:rsid w:val="004C7087"/>
    <w:rsid w:val="004E0E16"/>
    <w:rsid w:val="00517399"/>
    <w:rsid w:val="005312D4"/>
    <w:rsid w:val="00554DE2"/>
    <w:rsid w:val="00584548"/>
    <w:rsid w:val="005B2097"/>
    <w:rsid w:val="005F4FC8"/>
    <w:rsid w:val="005F63AE"/>
    <w:rsid w:val="00602F33"/>
    <w:rsid w:val="00636A4B"/>
    <w:rsid w:val="006833AA"/>
    <w:rsid w:val="0069097E"/>
    <w:rsid w:val="006970F0"/>
    <w:rsid w:val="006F6531"/>
    <w:rsid w:val="0071715B"/>
    <w:rsid w:val="007273FA"/>
    <w:rsid w:val="007401E5"/>
    <w:rsid w:val="0075086D"/>
    <w:rsid w:val="00754D30"/>
    <w:rsid w:val="00763179"/>
    <w:rsid w:val="007A220A"/>
    <w:rsid w:val="007B1F27"/>
    <w:rsid w:val="007B2623"/>
    <w:rsid w:val="007B2782"/>
    <w:rsid w:val="007C6003"/>
    <w:rsid w:val="007D1D40"/>
    <w:rsid w:val="008256CF"/>
    <w:rsid w:val="00866B51"/>
    <w:rsid w:val="008704BF"/>
    <w:rsid w:val="00870C1D"/>
    <w:rsid w:val="00872D63"/>
    <w:rsid w:val="00880CF3"/>
    <w:rsid w:val="008B2626"/>
    <w:rsid w:val="008B6619"/>
    <w:rsid w:val="008C5237"/>
    <w:rsid w:val="008E0FD2"/>
    <w:rsid w:val="008F74F9"/>
    <w:rsid w:val="0091367E"/>
    <w:rsid w:val="0092338C"/>
    <w:rsid w:val="009B531E"/>
    <w:rsid w:val="00A27F4D"/>
    <w:rsid w:val="00A64468"/>
    <w:rsid w:val="00A73D9D"/>
    <w:rsid w:val="00A9292F"/>
    <w:rsid w:val="00AD0724"/>
    <w:rsid w:val="00AD15D2"/>
    <w:rsid w:val="00B117D4"/>
    <w:rsid w:val="00B211E0"/>
    <w:rsid w:val="00B21DC8"/>
    <w:rsid w:val="00B5361D"/>
    <w:rsid w:val="00B67B9F"/>
    <w:rsid w:val="00BC0819"/>
    <w:rsid w:val="00BF3998"/>
    <w:rsid w:val="00C0199F"/>
    <w:rsid w:val="00C05D01"/>
    <w:rsid w:val="00C15781"/>
    <w:rsid w:val="00C24FFD"/>
    <w:rsid w:val="00C2618E"/>
    <w:rsid w:val="00CB15D3"/>
    <w:rsid w:val="00CD6054"/>
    <w:rsid w:val="00D22444"/>
    <w:rsid w:val="00D2582B"/>
    <w:rsid w:val="00D80206"/>
    <w:rsid w:val="00D80E73"/>
    <w:rsid w:val="00D866E4"/>
    <w:rsid w:val="00DD3955"/>
    <w:rsid w:val="00DE01E8"/>
    <w:rsid w:val="00DF1A19"/>
    <w:rsid w:val="00E25220"/>
    <w:rsid w:val="00E6195F"/>
    <w:rsid w:val="00E64C35"/>
    <w:rsid w:val="00E67F9D"/>
    <w:rsid w:val="00E73842"/>
    <w:rsid w:val="00E81035"/>
    <w:rsid w:val="00E82A9E"/>
    <w:rsid w:val="00EC3784"/>
    <w:rsid w:val="00ED5AB3"/>
    <w:rsid w:val="00EF12DC"/>
    <w:rsid w:val="00F00DCC"/>
    <w:rsid w:val="00F32C21"/>
    <w:rsid w:val="00F4644B"/>
    <w:rsid w:val="00F77CA9"/>
    <w:rsid w:val="00F96B46"/>
    <w:rsid w:val="00FF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A4355"/>
    <w:rPr>
      <w:sz w:val="24"/>
    </w:rPr>
  </w:style>
  <w:style w:type="paragraph" w:styleId="Titolo1">
    <w:name w:val="heading 1"/>
    <w:basedOn w:val="Normale"/>
    <w:next w:val="Normale"/>
    <w:qFormat/>
    <w:rsid w:val="000A4355"/>
    <w:pPr>
      <w:keepNext/>
      <w:jc w:val="both"/>
      <w:outlineLvl w:val="0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401E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401E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7401E5"/>
    <w:rPr>
      <w:color w:val="0000FF"/>
      <w:u w:val="single"/>
    </w:rPr>
  </w:style>
  <w:style w:type="table" w:styleId="Grigliatabella">
    <w:name w:val="Table Grid"/>
    <w:basedOn w:val="Tabellanormale"/>
    <w:rsid w:val="00C15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80206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1367E"/>
    <w:pPr>
      <w:jc w:val="center"/>
    </w:pPr>
    <w:rPr>
      <w:rFonts w:cs="Arial Unicode MS"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91367E"/>
    <w:rPr>
      <w:rFonts w:cs="Arial Unicode MS"/>
      <w:sz w:val="28"/>
      <w:szCs w:val="24"/>
    </w:rPr>
  </w:style>
  <w:style w:type="paragraph" w:styleId="Didascalia">
    <w:name w:val="caption"/>
    <w:basedOn w:val="Normale"/>
    <w:next w:val="Normale"/>
    <w:qFormat/>
    <w:rsid w:val="0091367E"/>
    <w:pPr>
      <w:overflowPunct w:val="0"/>
      <w:autoSpaceDE w:val="0"/>
      <w:autoSpaceDN w:val="0"/>
      <w:adjustRightInd w:val="0"/>
      <w:ind w:hanging="1134"/>
      <w:jc w:val="center"/>
      <w:textAlignment w:val="baseline"/>
    </w:pPr>
    <w:rPr>
      <w:b/>
      <w:spacing w:val="100"/>
      <w:sz w:val="40"/>
    </w:rPr>
  </w:style>
  <w:style w:type="paragraph" w:styleId="Paragrafoelenco">
    <w:name w:val="List Paragraph"/>
    <w:basedOn w:val="Normale"/>
    <w:uiPriority w:val="34"/>
    <w:qFormat/>
    <w:rsid w:val="002E7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ero\Desktop\Carta%20intestata%20(Sindaco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F2300-93DE-49CD-997D-8420A564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(Sindaco)</Template>
  <TotalTime>42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Sindaco</vt:lpstr>
    </vt:vector>
  </TitlesOfParts>
  <Company/>
  <LinksUpToDate>false</LinksUpToDate>
  <CharactersWithSpaces>2797</CharactersWithSpaces>
  <SharedDoc>false</SharedDoc>
  <HLinks>
    <vt:vector size="6" baseType="variant"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mailto:llpp@comune.galatone.le.it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Sindaco</dc:title>
  <dc:creator>Piero</dc:creator>
  <cp:lastModifiedBy>Workstation01</cp:lastModifiedBy>
  <cp:revision>2</cp:revision>
  <cp:lastPrinted>2013-11-20T12:12:00Z</cp:lastPrinted>
  <dcterms:created xsi:type="dcterms:W3CDTF">2013-12-02T13:24:00Z</dcterms:created>
  <dcterms:modified xsi:type="dcterms:W3CDTF">2013-12-02T13:24:00Z</dcterms:modified>
</cp:coreProperties>
</file>